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57B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E19CE">
        <w:rPr>
          <w:rFonts w:ascii="Arial" w:hAnsi="Arial" w:cs="Arial"/>
          <w:b/>
          <w:sz w:val="20"/>
          <w:szCs w:val="20"/>
        </w:rPr>
        <w:t>General Mandate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</w:t>
      </w:r>
      <w:r w:rsidR="00F82371">
        <w:rPr>
          <w:rFonts w:ascii="Arial" w:hAnsi="Arial" w:cs="Arial"/>
          <w:sz w:val="20"/>
          <w:szCs w:val="20"/>
        </w:rPr>
        <w:t>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57B54" w:rsidRPr="00B57B5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B57B54" w:rsidRPr="00B57B54">
        <w:rPr>
          <w:rFonts w:ascii="Arial" w:hAnsi="Arial" w:cs="Arial"/>
          <w:sz w:val="20"/>
          <w:szCs w:val="20"/>
        </w:rPr>
        <w:t>Nai</w:t>
      </w:r>
      <w:proofErr w:type="spellEnd"/>
      <w:r w:rsidR="00B57B54" w:rsidRPr="00B57B54">
        <w:rPr>
          <w:rFonts w:ascii="Arial" w:hAnsi="Arial" w:cs="Arial"/>
          <w:sz w:val="20"/>
          <w:szCs w:val="20"/>
        </w:rPr>
        <w:t xml:space="preserve"> Water Supply Construction and Services Joint - Stock Company</w:t>
      </w:r>
      <w:r w:rsidR="00B57B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E19CE">
        <w:rPr>
          <w:rFonts w:ascii="Arial" w:hAnsi="Arial" w:cs="Arial"/>
          <w:sz w:val="20"/>
          <w:szCs w:val="20"/>
        </w:rPr>
        <w:t>General Mandate 2020</w:t>
      </w:r>
      <w:r w:rsidR="00F8237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57B54" w:rsidRDefault="00B57B54" w:rsidP="00B57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B54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 xml:space="preserve">The </w:t>
      </w:r>
      <w:r w:rsidRPr="00B57B54">
        <w:rPr>
          <w:rFonts w:ascii="Arial" w:hAnsi="Arial" w:cs="Arial"/>
          <w:sz w:val="20"/>
          <w:szCs w:val="20"/>
        </w:rPr>
        <w:t xml:space="preserve">Annual General Meeting of Shareholders of </w:t>
      </w:r>
      <w:r w:rsidRPr="00B57B5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B57B54">
        <w:rPr>
          <w:rFonts w:ascii="Arial" w:hAnsi="Arial" w:cs="Arial"/>
          <w:sz w:val="20"/>
          <w:szCs w:val="20"/>
        </w:rPr>
        <w:t>Nai</w:t>
      </w:r>
      <w:proofErr w:type="spellEnd"/>
      <w:r w:rsidRPr="00B57B54">
        <w:rPr>
          <w:rFonts w:ascii="Arial" w:hAnsi="Arial" w:cs="Arial"/>
          <w:sz w:val="20"/>
          <w:szCs w:val="20"/>
        </w:rPr>
        <w:t xml:space="preserve"> Water Supply Construction and Services Joint - Stock Company </w:t>
      </w:r>
      <w:r>
        <w:rPr>
          <w:rFonts w:ascii="Arial" w:hAnsi="Arial" w:cs="Arial"/>
          <w:sz w:val="20"/>
          <w:szCs w:val="20"/>
        </w:rPr>
        <w:t>approved</w:t>
      </w:r>
      <w:r w:rsidRPr="00B57B54">
        <w:rPr>
          <w:rFonts w:ascii="Arial" w:hAnsi="Arial" w:cs="Arial"/>
          <w:sz w:val="20"/>
          <w:szCs w:val="20"/>
        </w:rPr>
        <w:t xml:space="preserve"> the following contents: </w:t>
      </w:r>
    </w:p>
    <w:p w:rsidR="00FE1AEA" w:rsidRDefault="00B57B54" w:rsidP="00B57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57B54">
        <w:rPr>
          <w:rFonts w:ascii="Arial" w:hAnsi="Arial" w:cs="Arial"/>
          <w:sz w:val="20"/>
          <w:szCs w:val="20"/>
        </w:rPr>
        <w:t>Approve the Board of Directors' Report on management and operation results of the Board of Dir</w:t>
      </w:r>
      <w:r w:rsidR="00FE1AEA">
        <w:rPr>
          <w:rFonts w:ascii="Arial" w:hAnsi="Arial" w:cs="Arial"/>
          <w:sz w:val="20"/>
          <w:szCs w:val="20"/>
        </w:rPr>
        <w:t xml:space="preserve">ectors in 2019; </w:t>
      </w:r>
      <w:r w:rsidRPr="00B57B54">
        <w:rPr>
          <w:rFonts w:ascii="Arial" w:hAnsi="Arial" w:cs="Arial"/>
          <w:sz w:val="20"/>
          <w:szCs w:val="20"/>
        </w:rPr>
        <w:t xml:space="preserve">report </w:t>
      </w:r>
      <w:r w:rsidR="00FE1AEA">
        <w:rPr>
          <w:rFonts w:ascii="Arial" w:hAnsi="Arial" w:cs="Arial"/>
          <w:sz w:val="20"/>
          <w:szCs w:val="20"/>
        </w:rPr>
        <w:t>on governance situation of the Company in 2019; Operational plan for 2020</w:t>
      </w:r>
    </w:p>
    <w:p w:rsidR="00FE1AEA" w:rsidRDefault="00FE1AEA" w:rsidP="00B57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57B54" w:rsidRPr="00B57B54">
        <w:rPr>
          <w:rFonts w:ascii="Arial" w:hAnsi="Arial" w:cs="Arial"/>
          <w:sz w:val="20"/>
          <w:szCs w:val="20"/>
        </w:rPr>
        <w:t xml:space="preserve"> Approve the Report of the Board of Supervisors on the business results o</w:t>
      </w:r>
      <w:r>
        <w:rPr>
          <w:rFonts w:ascii="Arial" w:hAnsi="Arial" w:cs="Arial"/>
          <w:sz w:val="20"/>
          <w:szCs w:val="20"/>
        </w:rPr>
        <w:t>f the Company in 2019, supervision of</w:t>
      </w:r>
      <w:r w:rsidR="00B57B54" w:rsidRPr="00B57B54">
        <w:rPr>
          <w:rFonts w:ascii="Arial" w:hAnsi="Arial" w:cs="Arial"/>
          <w:sz w:val="20"/>
          <w:szCs w:val="20"/>
        </w:rPr>
        <w:t xml:space="preserve"> the activities of the Board of Directors, Director </w:t>
      </w:r>
      <w:r>
        <w:rPr>
          <w:rFonts w:ascii="Arial" w:hAnsi="Arial" w:cs="Arial"/>
          <w:sz w:val="20"/>
          <w:szCs w:val="20"/>
        </w:rPr>
        <w:t xml:space="preserve">of </w:t>
      </w:r>
      <w:r w:rsidRPr="00B57B54">
        <w:rPr>
          <w:rFonts w:ascii="Arial" w:hAnsi="Arial" w:cs="Arial"/>
          <w:sz w:val="20"/>
          <w:szCs w:val="20"/>
        </w:rPr>
        <w:t xml:space="preserve">the Company </w:t>
      </w:r>
      <w:r>
        <w:rPr>
          <w:rFonts w:ascii="Arial" w:hAnsi="Arial" w:cs="Arial"/>
          <w:sz w:val="20"/>
          <w:szCs w:val="20"/>
        </w:rPr>
        <w:t>in 2019;</w:t>
      </w:r>
      <w:r w:rsidR="00B57B54" w:rsidRPr="00B57B54">
        <w:rPr>
          <w:rFonts w:ascii="Arial" w:hAnsi="Arial" w:cs="Arial"/>
          <w:sz w:val="20"/>
          <w:szCs w:val="20"/>
        </w:rPr>
        <w:t xml:space="preserve"> Approve the self-assessment report of the Supervisory</w:t>
      </w:r>
      <w:r>
        <w:rPr>
          <w:rFonts w:ascii="Arial" w:hAnsi="Arial" w:cs="Arial"/>
          <w:sz w:val="20"/>
          <w:szCs w:val="20"/>
        </w:rPr>
        <w:t xml:space="preserve"> Board and its members in 2019</w:t>
      </w:r>
    </w:p>
    <w:p w:rsidR="00FE1AEA" w:rsidRDefault="00FE1AEA" w:rsidP="00B57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</w:t>
      </w:r>
      <w:r w:rsidR="00B57B54" w:rsidRPr="00B57B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</w:t>
      </w:r>
      <w:r w:rsidR="00B57B54" w:rsidRPr="00B57B54">
        <w:rPr>
          <w:rFonts w:ascii="Arial" w:hAnsi="Arial" w:cs="Arial"/>
          <w:sz w:val="20"/>
          <w:szCs w:val="20"/>
        </w:rPr>
        <w:t xml:space="preserve"> of </w:t>
      </w:r>
      <w:r w:rsidRPr="00B57B5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B57B54">
        <w:rPr>
          <w:rFonts w:ascii="Arial" w:hAnsi="Arial" w:cs="Arial"/>
          <w:sz w:val="20"/>
          <w:szCs w:val="20"/>
        </w:rPr>
        <w:t>Nai</w:t>
      </w:r>
      <w:proofErr w:type="spellEnd"/>
      <w:r w:rsidRPr="00B57B54">
        <w:rPr>
          <w:rFonts w:ascii="Arial" w:hAnsi="Arial" w:cs="Arial"/>
          <w:sz w:val="20"/>
          <w:szCs w:val="20"/>
        </w:rPr>
        <w:t xml:space="preserve"> Water Supply Construction and Services Joint - Stock Company</w:t>
      </w:r>
      <w:r w:rsidR="00B57B54" w:rsidRPr="00B57B54">
        <w:rPr>
          <w:rFonts w:ascii="Arial" w:hAnsi="Arial" w:cs="Arial"/>
          <w:sz w:val="20"/>
          <w:szCs w:val="20"/>
        </w:rPr>
        <w:t xml:space="preserve"> </w:t>
      </w:r>
    </w:p>
    <w:p w:rsidR="00FE1AEA" w:rsidRPr="00FE1AEA" w:rsidRDefault="00FE1AEA" w:rsidP="00FE1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Approve the plan on</w:t>
      </w:r>
      <w:r w:rsidR="00B57B54" w:rsidRPr="00B57B54">
        <w:rPr>
          <w:rFonts w:ascii="Arial" w:hAnsi="Arial" w:cs="Arial"/>
          <w:sz w:val="20"/>
          <w:szCs w:val="20"/>
        </w:rPr>
        <w:t xml:space="preserve"> profit distri</w:t>
      </w:r>
      <w:r>
        <w:rPr>
          <w:rFonts w:ascii="Arial" w:hAnsi="Arial" w:cs="Arial"/>
          <w:sz w:val="20"/>
          <w:szCs w:val="20"/>
        </w:rPr>
        <w:t>bution, deduction to funds and dividend payment of</w:t>
      </w:r>
      <w:r w:rsidR="00B57B54" w:rsidRPr="00B57B54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color w:val="292929"/>
                <w:sz w:val="20"/>
                <w:szCs w:val="20"/>
              </w:rPr>
              <w:t>No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color w:val="292929"/>
                <w:sz w:val="20"/>
                <w:szCs w:val="20"/>
              </w:rPr>
              <w:t>Target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color w:val="292929"/>
                <w:sz w:val="20"/>
                <w:szCs w:val="20"/>
              </w:rPr>
              <w:t>%/ Profit after tax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color w:val="292929"/>
                <w:sz w:val="20"/>
                <w:szCs w:val="20"/>
              </w:rPr>
              <w:t>Amount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Total distributed </w:t>
            </w:r>
            <w:r w:rsidR="008D2798">
              <w:rPr>
                <w:rFonts w:ascii="Arial" w:hAnsi="Arial" w:cs="Arial"/>
                <w:color w:val="292929"/>
                <w:sz w:val="20"/>
                <w:szCs w:val="20"/>
              </w:rPr>
              <w:t>profit</w:t>
            </w: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after tax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12,136,387,596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8D2798" w:rsidP="00FE1AE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Profit after tax of 2019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6,725,450,077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FE1AE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Undistributed profit after tax transferred from previous years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5,410,937,519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Funds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2,472,544,025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a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8D2798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Investment and development fund (</w:t>
            </w:r>
            <w:r w:rsidR="008D2798">
              <w:rPr>
                <w:rFonts w:ascii="Arial" w:hAnsi="Arial" w:cs="Arial"/>
                <w:color w:val="292929"/>
                <w:sz w:val="20"/>
                <w:szCs w:val="20"/>
              </w:rPr>
              <w:t>15</w:t>
            </w: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% of profit after tax)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15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%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1,008,817,512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b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Welfare and bonus fund (17% of profit after tax)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17%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1,143,326,513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Bonus fund for the employees and staff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12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807,054,009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Welfare fund for the employees and staff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201,763,502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Social fund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2%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134,509,002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c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8D2798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Bonus fund for </w:t>
            </w:r>
            <w:r w:rsidR="008D2798">
              <w:rPr>
                <w:rFonts w:ascii="Arial" w:hAnsi="Arial" w:cs="Arial"/>
                <w:color w:val="292929"/>
                <w:sz w:val="20"/>
                <w:szCs w:val="20"/>
              </w:rPr>
              <w:t>managers (1.5 of monthly salary)</w:t>
            </w: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320,400,000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Remaining profit for the dividend payment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9,663,843,</w:t>
            </w:r>
            <w:r w:rsidR="00BE02D6">
              <w:rPr>
                <w:rFonts w:ascii="Arial" w:hAnsi="Arial" w:cs="Arial"/>
                <w:color w:val="292929"/>
                <w:sz w:val="20"/>
                <w:szCs w:val="20"/>
              </w:rPr>
              <w:t>571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FE1AE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Profit transferred from previous years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5,410,937,519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E1AEA" w:rsidRPr="008D2798" w:rsidRDefault="008D2798" w:rsidP="00FE1AE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Remaining profit of 2019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(after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 xml:space="preserve"> deduction to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funds)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4,252,906,052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Rate of dividend payment/ the charter capital</w:t>
            </w:r>
            <w:r w:rsid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(expected)</w:t>
            </w: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20%/ charter capital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8D2798" w:rsidP="008D2798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Expected d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>ividend payment (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69.74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% of profit after tax)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8D2798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69.74</w:t>
            </w:r>
            <w:r w:rsidR="00FE1AEA" w:rsidRPr="008D2798">
              <w:rPr>
                <w:rFonts w:ascii="Arial" w:hAnsi="Arial" w:cs="Arial"/>
                <w:color w:val="292929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4,690,000,000</w:t>
            </w:r>
          </w:p>
        </w:tc>
      </w:tr>
      <w:tr w:rsidR="00FE1AEA" w:rsidRPr="008D2798" w:rsidTr="003B56A0">
        <w:tc>
          <w:tcPr>
            <w:tcW w:w="558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8D2798">
              <w:rPr>
                <w:rFonts w:ascii="Arial" w:hAnsi="Arial" w:cs="Arial"/>
                <w:color w:val="292929"/>
                <w:sz w:val="20"/>
                <w:szCs w:val="20"/>
              </w:rPr>
              <w:t xml:space="preserve">Total remaining </w:t>
            </w:r>
            <w:r w:rsidR="008D2798">
              <w:rPr>
                <w:rFonts w:ascii="Arial" w:hAnsi="Arial" w:cs="Arial"/>
                <w:color w:val="292929"/>
                <w:sz w:val="20"/>
                <w:szCs w:val="20"/>
              </w:rPr>
              <w:t>profit transferred to year 2020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4,973,843,571</w:t>
            </w:r>
          </w:p>
        </w:tc>
      </w:tr>
    </w:tbl>
    <w:p w:rsidR="00FE1AEA" w:rsidRDefault="00FE1AEA" w:rsidP="00FE1AEA"/>
    <w:p w:rsidR="00FE1AEA" w:rsidRPr="008D2798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Approve the operation plan of 2020</w:t>
      </w:r>
      <w:r w:rsidR="00FE1AEA" w:rsidRPr="008D27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3"/>
        <w:gridCol w:w="2394"/>
        <w:gridCol w:w="2394"/>
      </w:tblGrid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tabs>
                <w:tab w:val="left" w:pos="9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Plan in 2019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BE02D6" w:rsidP="003B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41,650,000,000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Rate of dividend payment/ the charter capital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12%/ charter capital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Payables to the state budget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Total charter capital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23,450,000,000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Basic construction investment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8,000,000,000</w:t>
            </w:r>
          </w:p>
        </w:tc>
      </w:tr>
      <w:tr w:rsidR="00FE1AEA" w:rsidRPr="008D2798" w:rsidTr="003B56A0">
        <w:tc>
          <w:tcPr>
            <w:tcW w:w="675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3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Rate of profit before tax/ the charter capital 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</w:tcPr>
          <w:p w:rsidR="00FE1AEA" w:rsidRPr="008D2798" w:rsidRDefault="00BE02D6" w:rsidP="003B5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21.75%</w:t>
            </w:r>
          </w:p>
        </w:tc>
      </w:tr>
    </w:tbl>
    <w:p w:rsidR="00FE1AEA" w:rsidRPr="008D2798" w:rsidRDefault="00FE1AEA" w:rsidP="00FE1AEA">
      <w:pPr>
        <w:rPr>
          <w:rFonts w:ascii="Arial" w:hAnsi="Arial" w:cs="Arial"/>
          <w:sz w:val="20"/>
          <w:szCs w:val="20"/>
        </w:rPr>
      </w:pP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2D6">
        <w:rPr>
          <w:rFonts w:ascii="Arial" w:hAnsi="Arial" w:cs="Arial"/>
          <w:sz w:val="20"/>
          <w:szCs w:val="20"/>
        </w:rPr>
        <w:t>Authorizing the Board of Directors of the Company to base on the business performance of the first 6 months to adjust the</w:t>
      </w:r>
      <w:r>
        <w:rPr>
          <w:rFonts w:ascii="Arial" w:hAnsi="Arial" w:cs="Arial"/>
          <w:sz w:val="20"/>
          <w:szCs w:val="20"/>
        </w:rPr>
        <w:t xml:space="preserve"> business and production plan of</w:t>
      </w:r>
      <w:r w:rsidRPr="00BE02D6">
        <w:rPr>
          <w:rFonts w:ascii="Arial" w:hAnsi="Arial" w:cs="Arial"/>
          <w:sz w:val="20"/>
          <w:szCs w:val="20"/>
        </w:rPr>
        <w:t xml:space="preserve"> 2020 accordingly, specifically: </w:t>
      </w: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E02D6">
        <w:rPr>
          <w:rFonts w:ascii="Arial" w:hAnsi="Arial" w:cs="Arial"/>
          <w:sz w:val="20"/>
          <w:szCs w:val="20"/>
        </w:rPr>
        <w:t xml:space="preserve">Considering and deciding to adjust </w:t>
      </w:r>
      <w:r>
        <w:rPr>
          <w:rFonts w:ascii="Arial" w:hAnsi="Arial" w:cs="Arial"/>
          <w:sz w:val="20"/>
          <w:szCs w:val="20"/>
        </w:rPr>
        <w:t>downward</w:t>
      </w:r>
      <w:r w:rsidRPr="00BE02D6">
        <w:rPr>
          <w:rFonts w:ascii="Arial" w:hAnsi="Arial" w:cs="Arial"/>
          <w:sz w:val="20"/>
          <w:szCs w:val="20"/>
        </w:rPr>
        <w:t xml:space="preserve"> not exceeding 30% of business and production targets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BE02D6"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2D6">
        <w:rPr>
          <w:rFonts w:ascii="Arial" w:hAnsi="Arial" w:cs="Arial"/>
          <w:sz w:val="20"/>
          <w:szCs w:val="20"/>
        </w:rPr>
        <w:t xml:space="preserve">- In case </w:t>
      </w:r>
      <w:r>
        <w:rPr>
          <w:rFonts w:ascii="Arial" w:hAnsi="Arial" w:cs="Arial"/>
          <w:sz w:val="20"/>
          <w:szCs w:val="20"/>
        </w:rPr>
        <w:t>of adjusting</w:t>
      </w:r>
      <w:r w:rsidRPr="00BE0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downward</w:t>
      </w:r>
      <w:r w:rsidRPr="00BE02D6">
        <w:rPr>
          <w:rFonts w:ascii="Arial" w:hAnsi="Arial" w:cs="Arial"/>
          <w:sz w:val="20"/>
          <w:szCs w:val="20"/>
        </w:rPr>
        <w:t xml:space="preserve"> more than 30% compared to the business and production targets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BE02D6">
        <w:rPr>
          <w:rFonts w:ascii="Arial" w:hAnsi="Arial" w:cs="Arial"/>
          <w:sz w:val="20"/>
          <w:szCs w:val="20"/>
        </w:rPr>
        <w:t xml:space="preserve">General Meeting of Shareholders in 2020, the Board of Directors of the Company will organize the </w:t>
      </w:r>
      <w:r>
        <w:rPr>
          <w:rFonts w:ascii="Arial" w:hAnsi="Arial" w:cs="Arial"/>
          <w:sz w:val="20"/>
          <w:szCs w:val="20"/>
        </w:rPr>
        <w:t>consulting shareholders via a ballot</w:t>
      </w: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Approving the Statement on</w:t>
      </w:r>
      <w:r w:rsidRPr="00BE02D6">
        <w:rPr>
          <w:rFonts w:ascii="Arial" w:hAnsi="Arial" w:cs="Arial"/>
          <w:sz w:val="20"/>
          <w:szCs w:val="20"/>
        </w:rPr>
        <w:t xml:space="preserve"> finalization of salaries and remuneration of the Board of Directors and </w:t>
      </w:r>
      <w:r>
        <w:rPr>
          <w:rFonts w:ascii="Arial" w:hAnsi="Arial" w:cs="Arial"/>
          <w:sz w:val="20"/>
          <w:szCs w:val="20"/>
        </w:rPr>
        <w:t xml:space="preserve">Supervisor Board in 2019; </w:t>
      </w:r>
      <w:r w:rsidRPr="00BE02D6">
        <w:rPr>
          <w:rFonts w:ascii="Arial" w:hAnsi="Arial" w:cs="Arial"/>
          <w:sz w:val="20"/>
          <w:szCs w:val="20"/>
        </w:rPr>
        <w:t>Salary and remuneration plan for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2D6">
        <w:rPr>
          <w:rFonts w:ascii="Arial" w:hAnsi="Arial" w:cs="Arial"/>
          <w:sz w:val="20"/>
          <w:szCs w:val="20"/>
        </w:rPr>
        <w:lastRenderedPageBreak/>
        <w:t xml:space="preserve"> 6</w:t>
      </w:r>
      <w:r>
        <w:rPr>
          <w:rFonts w:ascii="Arial" w:hAnsi="Arial" w:cs="Arial"/>
          <w:sz w:val="20"/>
          <w:szCs w:val="20"/>
        </w:rPr>
        <w:t>.1</w:t>
      </w:r>
      <w:r w:rsidRPr="00BE02D6">
        <w:rPr>
          <w:rFonts w:ascii="Arial" w:hAnsi="Arial" w:cs="Arial"/>
          <w:sz w:val="20"/>
          <w:szCs w:val="20"/>
        </w:rPr>
        <w:t xml:space="preserve"> Salaries and remuneration of the Board of Directors and the Supervisory Board in 2019: </w:t>
      </w:r>
    </w:p>
    <w:p w:rsidR="00BE02D6" w:rsidRDefault="00BE02D6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2D6">
        <w:rPr>
          <w:rFonts w:ascii="Arial" w:hAnsi="Arial" w:cs="Arial"/>
          <w:sz w:val="20"/>
          <w:szCs w:val="20"/>
        </w:rPr>
        <w:t xml:space="preserve">- Salary of </w:t>
      </w:r>
      <w:r>
        <w:rPr>
          <w:rFonts w:ascii="Arial" w:hAnsi="Arial" w:cs="Arial"/>
          <w:sz w:val="20"/>
          <w:szCs w:val="20"/>
        </w:rPr>
        <w:t xml:space="preserve">standing </w:t>
      </w:r>
      <w:r w:rsidRPr="00BE02D6">
        <w:rPr>
          <w:rFonts w:ascii="Arial" w:hAnsi="Arial" w:cs="Arial"/>
          <w:sz w:val="20"/>
          <w:szCs w:val="20"/>
        </w:rPr>
        <w:t xml:space="preserve">Head of the </w:t>
      </w:r>
      <w:r>
        <w:rPr>
          <w:rFonts w:ascii="Arial" w:hAnsi="Arial" w:cs="Arial"/>
          <w:sz w:val="20"/>
          <w:szCs w:val="20"/>
        </w:rPr>
        <w:t>Supervisor Board</w:t>
      </w:r>
      <w:r w:rsidRPr="00BE02D6">
        <w:rPr>
          <w:rFonts w:ascii="Arial" w:hAnsi="Arial" w:cs="Arial"/>
          <w:sz w:val="20"/>
          <w:szCs w:val="20"/>
        </w:rPr>
        <w:t xml:space="preserve">: </w:t>
      </w:r>
      <w:r w:rsidRPr="00BE02D6">
        <w:rPr>
          <w:rFonts w:ascii="Arial" w:hAnsi="Arial" w:cs="Arial"/>
          <w:sz w:val="20"/>
          <w:szCs w:val="20"/>
        </w:rPr>
        <w:t xml:space="preserve">VND </w:t>
      </w:r>
      <w:r w:rsidRPr="00BE02D6">
        <w:rPr>
          <w:rFonts w:ascii="Arial" w:hAnsi="Arial" w:cs="Arial"/>
          <w:sz w:val="20"/>
          <w:szCs w:val="20"/>
        </w:rPr>
        <w:t>374</w:t>
      </w:r>
      <w:r>
        <w:rPr>
          <w:rFonts w:ascii="Arial" w:hAnsi="Arial" w:cs="Arial"/>
          <w:sz w:val="20"/>
          <w:szCs w:val="20"/>
        </w:rPr>
        <w:t>,</w:t>
      </w:r>
      <w:r w:rsidRPr="00BE02D6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Pr="00BE02D6">
        <w:rPr>
          <w:rFonts w:ascii="Arial" w:hAnsi="Arial" w:cs="Arial"/>
          <w:sz w:val="20"/>
          <w:szCs w:val="20"/>
        </w:rPr>
        <w:t>000</w:t>
      </w:r>
    </w:p>
    <w:p w:rsidR="00BE02D6" w:rsidRDefault="006D4FC4" w:rsidP="00BE02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of non-standing members of Board of Directors: VND 192,000,000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Remuneration of </w:t>
      </w:r>
      <w:r>
        <w:rPr>
          <w:rFonts w:ascii="Arial" w:hAnsi="Arial" w:cs="Arial"/>
          <w:sz w:val="20"/>
          <w:szCs w:val="20"/>
        </w:rPr>
        <w:t>non-standing members of</w:t>
      </w:r>
      <w:r>
        <w:rPr>
          <w:rFonts w:ascii="Arial" w:hAnsi="Arial" w:cs="Arial"/>
          <w:sz w:val="20"/>
          <w:szCs w:val="20"/>
        </w:rPr>
        <w:t xml:space="preserve"> Supervisor Board: VND 120,000,000</w:t>
      </w:r>
    </w:p>
    <w:p w:rsidR="00FE1AEA" w:rsidRPr="008D2798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Plan on salary payment and remuneration payment to the Board of Directors and Supervisor Board in 2020</w:t>
      </w:r>
      <w:r w:rsidR="00FE1AEA" w:rsidRPr="008D27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61"/>
        <w:gridCol w:w="1883"/>
        <w:gridCol w:w="1890"/>
        <w:gridCol w:w="1903"/>
      </w:tblGrid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Number (person)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Salary (VND/ person/ month)</w:t>
            </w:r>
          </w:p>
        </w:tc>
        <w:tc>
          <w:tcPr>
            <w:tcW w:w="1903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798">
              <w:rPr>
                <w:rFonts w:ascii="Arial" w:hAnsi="Arial" w:cs="Arial"/>
                <w:b/>
                <w:sz w:val="20"/>
                <w:szCs w:val="20"/>
              </w:rPr>
              <w:t>Remuneration (VND/ person/ month)</w:t>
            </w: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48,000,000</w:t>
            </w:r>
          </w:p>
        </w:tc>
        <w:tc>
          <w:tcPr>
            <w:tcW w:w="190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14,000,000</w:t>
            </w: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48,000,000</w:t>
            </w:r>
          </w:p>
        </w:tc>
        <w:tc>
          <w:tcPr>
            <w:tcW w:w="1903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7,000,000</w:t>
            </w: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Board of Supervisors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190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10,000,000</w:t>
            </w: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1903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</w:tr>
      <w:tr w:rsidR="00FE1AEA" w:rsidRPr="008D2798" w:rsidTr="006D4FC4">
        <w:tc>
          <w:tcPr>
            <w:tcW w:w="539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361" w:type="dxa"/>
            <w:shd w:val="clear" w:color="auto" w:fill="auto"/>
          </w:tcPr>
          <w:p w:rsidR="00FE1AEA" w:rsidRPr="008D2798" w:rsidRDefault="00FE1AEA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8D2798">
              <w:rPr>
                <w:rFonts w:ascii="Arial" w:hAnsi="Arial" w:cs="Arial"/>
                <w:sz w:val="20"/>
                <w:szCs w:val="20"/>
              </w:rPr>
              <w:t xml:space="preserve">Secretary of the Company </w:t>
            </w:r>
          </w:p>
        </w:tc>
        <w:tc>
          <w:tcPr>
            <w:tcW w:w="1883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E1AEA" w:rsidRPr="008D2798" w:rsidRDefault="00FE1AEA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E1AEA" w:rsidRPr="008D2798" w:rsidRDefault="006D4FC4" w:rsidP="003B5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</w:tr>
    </w:tbl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 xml:space="preserve">(The </w:t>
      </w:r>
      <w:r w:rsidRPr="006D4FC4">
        <w:rPr>
          <w:rFonts w:ascii="Arial" w:hAnsi="Arial" w:cs="Arial"/>
          <w:sz w:val="20"/>
          <w:szCs w:val="20"/>
        </w:rPr>
        <w:t>salary</w:t>
      </w:r>
      <w:r w:rsidRPr="006D4FC4">
        <w:rPr>
          <w:rFonts w:ascii="Arial" w:hAnsi="Arial" w:cs="Arial"/>
          <w:sz w:val="20"/>
          <w:szCs w:val="20"/>
        </w:rPr>
        <w:t xml:space="preserve"> settlement will be made in acco</w:t>
      </w:r>
      <w:r>
        <w:rPr>
          <w:rFonts w:ascii="Arial" w:hAnsi="Arial" w:cs="Arial"/>
          <w:sz w:val="20"/>
          <w:szCs w:val="20"/>
        </w:rPr>
        <w:t>rdance with Circular No.28/2016/TT</w:t>
      </w:r>
      <w:r w:rsidRPr="006D4FC4">
        <w:rPr>
          <w:rFonts w:ascii="Arial" w:hAnsi="Arial" w:cs="Arial"/>
          <w:sz w:val="20"/>
          <w:szCs w:val="20"/>
        </w:rPr>
        <w:t xml:space="preserve">- BLDTBXH of the Ministry of Labor, War Invalids and Social Affairs and Business Production Results </w:t>
      </w:r>
      <w:r>
        <w:rPr>
          <w:rFonts w:ascii="Arial" w:hAnsi="Arial" w:cs="Arial"/>
          <w:sz w:val="20"/>
          <w:szCs w:val="20"/>
        </w:rPr>
        <w:t>of 2020)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Approve the Statement to</w:t>
      </w:r>
      <w:r w:rsidRPr="006D4FC4">
        <w:rPr>
          <w:rFonts w:ascii="Arial" w:hAnsi="Arial" w:cs="Arial"/>
          <w:sz w:val="20"/>
          <w:szCs w:val="20"/>
        </w:rPr>
        <w:t xml:space="preserve"> the General Meeting of Shareholders on the selection of </w:t>
      </w:r>
      <w:r>
        <w:rPr>
          <w:rFonts w:ascii="Arial" w:hAnsi="Arial" w:cs="Arial"/>
          <w:sz w:val="20"/>
          <w:szCs w:val="20"/>
        </w:rPr>
        <w:t>an a</w:t>
      </w:r>
      <w:r w:rsidRPr="006D4FC4">
        <w:rPr>
          <w:rFonts w:ascii="Arial" w:hAnsi="Arial" w:cs="Arial"/>
          <w:sz w:val="20"/>
          <w:szCs w:val="20"/>
        </w:rPr>
        <w:t xml:space="preserve">uditing Company </w:t>
      </w:r>
      <w:r>
        <w:rPr>
          <w:rFonts w:ascii="Arial" w:hAnsi="Arial" w:cs="Arial"/>
          <w:sz w:val="20"/>
          <w:szCs w:val="20"/>
        </w:rPr>
        <w:t>for financial statement of 2020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D4FC4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authorized</w:t>
      </w:r>
      <w:r w:rsidRPr="006D4FC4">
        <w:rPr>
          <w:rFonts w:ascii="Arial" w:hAnsi="Arial" w:cs="Arial"/>
          <w:sz w:val="20"/>
          <w:szCs w:val="20"/>
        </w:rPr>
        <w:t xml:space="preserve"> the Board of Directors of t</w:t>
      </w:r>
      <w:r>
        <w:rPr>
          <w:rFonts w:ascii="Arial" w:hAnsi="Arial" w:cs="Arial"/>
          <w:sz w:val="20"/>
          <w:szCs w:val="20"/>
        </w:rPr>
        <w:t xml:space="preserve">he Company to select one of </w:t>
      </w:r>
      <w:r w:rsidRPr="006D4FC4">
        <w:rPr>
          <w:rFonts w:ascii="Arial" w:hAnsi="Arial" w:cs="Arial"/>
          <w:sz w:val="20"/>
          <w:szCs w:val="20"/>
        </w:rPr>
        <w:t xml:space="preserve">three auditing companies in the list below to </w:t>
      </w:r>
      <w:r>
        <w:rPr>
          <w:rFonts w:ascii="Arial" w:hAnsi="Arial" w:cs="Arial"/>
          <w:sz w:val="20"/>
          <w:szCs w:val="20"/>
        </w:rPr>
        <w:t>audit the financial statement</w:t>
      </w:r>
      <w:r w:rsidRPr="006D4FC4">
        <w:rPr>
          <w:rFonts w:ascii="Arial" w:hAnsi="Arial" w:cs="Arial"/>
          <w:sz w:val="20"/>
          <w:szCs w:val="20"/>
        </w:rPr>
        <w:t xml:space="preserve"> of 2020 of Dong </w:t>
      </w:r>
      <w:proofErr w:type="spellStart"/>
      <w:r w:rsidRPr="006D4FC4">
        <w:rPr>
          <w:rFonts w:ascii="Arial" w:hAnsi="Arial" w:cs="Arial"/>
          <w:sz w:val="20"/>
          <w:szCs w:val="20"/>
        </w:rPr>
        <w:t>Nai</w:t>
      </w:r>
      <w:proofErr w:type="spellEnd"/>
      <w:r w:rsidRPr="006D4FC4">
        <w:rPr>
          <w:rFonts w:ascii="Arial" w:hAnsi="Arial" w:cs="Arial"/>
          <w:sz w:val="20"/>
          <w:szCs w:val="20"/>
        </w:rPr>
        <w:t xml:space="preserve"> Water Supply Construction and Services Joint - Stock Company: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 xml:space="preserve"> - RSM Vietnam </w:t>
      </w:r>
      <w:r>
        <w:rPr>
          <w:rFonts w:ascii="Arial" w:hAnsi="Arial" w:cs="Arial"/>
          <w:sz w:val="20"/>
          <w:szCs w:val="20"/>
        </w:rPr>
        <w:t>Auditing &amp; Consulting Co., Ltd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VACO Auditing Co., Ltd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>- A&amp;C Auditing and Consu</w:t>
      </w:r>
      <w:r>
        <w:rPr>
          <w:rFonts w:ascii="Arial" w:hAnsi="Arial" w:cs="Arial"/>
          <w:sz w:val="20"/>
          <w:szCs w:val="20"/>
        </w:rPr>
        <w:t>lting Co., Ltd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 xml:space="preserve">8. Adopting the dismissal and additional election </w:t>
      </w:r>
      <w:r>
        <w:rPr>
          <w:rFonts w:ascii="Arial" w:hAnsi="Arial" w:cs="Arial"/>
          <w:sz w:val="20"/>
          <w:szCs w:val="20"/>
        </w:rPr>
        <w:t>of</w:t>
      </w:r>
      <w:r w:rsidRPr="006D4FC4">
        <w:rPr>
          <w:rFonts w:ascii="Arial" w:hAnsi="Arial" w:cs="Arial"/>
          <w:sz w:val="20"/>
          <w:szCs w:val="20"/>
        </w:rPr>
        <w:t xml:space="preserve"> members of the Board of Directors for the term of 2018 - 2023 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>9. Election results for the Board of Directors for the term of 2018 - 2023: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>Members of t</w:t>
      </w:r>
      <w:r>
        <w:rPr>
          <w:rFonts w:ascii="Arial" w:hAnsi="Arial" w:cs="Arial"/>
          <w:sz w:val="20"/>
          <w:szCs w:val="20"/>
        </w:rPr>
        <w:t>he Board of Directors elected</w:t>
      </w:r>
      <w:r w:rsidRPr="006D4FC4">
        <w:rPr>
          <w:rFonts w:ascii="Arial" w:hAnsi="Arial" w:cs="Arial"/>
          <w:sz w:val="20"/>
          <w:szCs w:val="20"/>
        </w:rPr>
        <w:t xml:space="preserve">: </w:t>
      </w:r>
    </w:p>
    <w:p w:rsid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6D4FC4">
        <w:rPr>
          <w:rFonts w:ascii="Arial" w:hAnsi="Arial" w:cs="Arial"/>
          <w:sz w:val="20"/>
          <w:szCs w:val="20"/>
        </w:rPr>
        <w:t xml:space="preserve"> Mr. Nguyen </w:t>
      </w:r>
      <w:proofErr w:type="spellStart"/>
      <w:r w:rsidRPr="006D4FC4">
        <w:rPr>
          <w:rFonts w:ascii="Arial" w:hAnsi="Arial" w:cs="Arial"/>
          <w:sz w:val="20"/>
          <w:szCs w:val="20"/>
        </w:rPr>
        <w:t>Anh</w:t>
      </w:r>
      <w:proofErr w:type="spellEnd"/>
      <w:r w:rsidRPr="006D4FC4">
        <w:rPr>
          <w:rFonts w:ascii="Arial" w:hAnsi="Arial" w:cs="Arial"/>
          <w:sz w:val="20"/>
          <w:szCs w:val="20"/>
        </w:rPr>
        <w:t xml:space="preserve"> Tuan </w:t>
      </w:r>
    </w:p>
    <w:p w:rsidR="00FE1AEA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D4FC4">
        <w:rPr>
          <w:rFonts w:ascii="Arial" w:hAnsi="Arial" w:cs="Arial"/>
          <w:sz w:val="20"/>
          <w:szCs w:val="20"/>
        </w:rPr>
        <w:t xml:space="preserve"> Mr. Dang Nguyen </w:t>
      </w:r>
      <w:proofErr w:type="spellStart"/>
      <w:r w:rsidRPr="006D4FC4">
        <w:rPr>
          <w:rFonts w:ascii="Arial" w:hAnsi="Arial" w:cs="Arial"/>
          <w:sz w:val="20"/>
          <w:szCs w:val="20"/>
        </w:rPr>
        <w:t>Thanh</w:t>
      </w:r>
      <w:proofErr w:type="spellEnd"/>
      <w:r w:rsidRPr="006D4FC4">
        <w:rPr>
          <w:rFonts w:ascii="Arial" w:hAnsi="Arial" w:cs="Arial"/>
          <w:sz w:val="20"/>
          <w:szCs w:val="20"/>
        </w:rPr>
        <w:t xml:space="preserve"> An</w:t>
      </w:r>
    </w:p>
    <w:p w:rsidR="00252FA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6D4FC4">
        <w:rPr>
          <w:rFonts w:ascii="Arial" w:hAnsi="Arial" w:cs="Arial"/>
          <w:sz w:val="20"/>
          <w:szCs w:val="20"/>
        </w:rPr>
        <w:t xml:space="preserve">The Board of Directors </w:t>
      </w:r>
      <w:r w:rsidR="00252FA4">
        <w:rPr>
          <w:rFonts w:ascii="Arial" w:hAnsi="Arial" w:cs="Arial"/>
          <w:sz w:val="20"/>
          <w:szCs w:val="20"/>
        </w:rPr>
        <w:t xml:space="preserve">held a meeting </w:t>
      </w:r>
      <w:r w:rsidRPr="006D4FC4">
        <w:rPr>
          <w:rFonts w:ascii="Arial" w:hAnsi="Arial" w:cs="Arial"/>
          <w:sz w:val="20"/>
          <w:szCs w:val="20"/>
        </w:rPr>
        <w:t>to elect the Chairman of the Board of Director</w:t>
      </w:r>
      <w:r w:rsidR="00252FA4">
        <w:rPr>
          <w:rFonts w:ascii="Arial" w:hAnsi="Arial" w:cs="Arial"/>
          <w:sz w:val="20"/>
          <w:szCs w:val="20"/>
        </w:rPr>
        <w:t>s for the term of 2018 – 2023</w:t>
      </w:r>
    </w:p>
    <w:p w:rsidR="00252FA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lastRenderedPageBreak/>
        <w:t>The Board of Directo</w:t>
      </w:r>
      <w:r w:rsidR="00252FA4">
        <w:rPr>
          <w:rFonts w:ascii="Arial" w:hAnsi="Arial" w:cs="Arial"/>
          <w:sz w:val="20"/>
          <w:szCs w:val="20"/>
        </w:rPr>
        <w:t xml:space="preserve">rs elected Mr. Nguyen </w:t>
      </w:r>
      <w:proofErr w:type="spellStart"/>
      <w:r w:rsidR="00252FA4">
        <w:rPr>
          <w:rFonts w:ascii="Arial" w:hAnsi="Arial" w:cs="Arial"/>
          <w:sz w:val="20"/>
          <w:szCs w:val="20"/>
        </w:rPr>
        <w:t>Anh</w:t>
      </w:r>
      <w:proofErr w:type="spellEnd"/>
      <w:r w:rsidR="00252FA4">
        <w:rPr>
          <w:rFonts w:ascii="Arial" w:hAnsi="Arial" w:cs="Arial"/>
          <w:sz w:val="20"/>
          <w:szCs w:val="20"/>
        </w:rPr>
        <w:t xml:space="preserve"> Tuan to hold</w:t>
      </w:r>
      <w:r w:rsidRPr="006D4FC4">
        <w:rPr>
          <w:rFonts w:ascii="Arial" w:hAnsi="Arial" w:cs="Arial"/>
          <w:sz w:val="20"/>
          <w:szCs w:val="20"/>
        </w:rPr>
        <w:t xml:space="preserve"> the position of Chairman of the Board of Directors of </w:t>
      </w:r>
      <w:r w:rsidR="00252FA4" w:rsidRPr="00252FA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252FA4" w:rsidRPr="00252FA4">
        <w:rPr>
          <w:rFonts w:ascii="Arial" w:hAnsi="Arial" w:cs="Arial"/>
          <w:sz w:val="20"/>
          <w:szCs w:val="20"/>
        </w:rPr>
        <w:t>Nai</w:t>
      </w:r>
      <w:proofErr w:type="spellEnd"/>
      <w:r w:rsidR="00252FA4" w:rsidRPr="00252FA4">
        <w:rPr>
          <w:rFonts w:ascii="Arial" w:hAnsi="Arial" w:cs="Arial"/>
          <w:sz w:val="20"/>
          <w:szCs w:val="20"/>
        </w:rPr>
        <w:t xml:space="preserve"> Water Supply Construction and Services Joint - Stock Company </w:t>
      </w:r>
      <w:r w:rsidR="00252FA4">
        <w:rPr>
          <w:rFonts w:ascii="Arial" w:hAnsi="Arial" w:cs="Arial"/>
          <w:sz w:val="20"/>
          <w:szCs w:val="20"/>
        </w:rPr>
        <w:t>for the term of 2018 – 2023</w:t>
      </w:r>
      <w:bookmarkStart w:id="0" w:name="_GoBack"/>
      <w:bookmarkEnd w:id="0"/>
    </w:p>
    <w:p w:rsidR="00252FA4" w:rsidRDefault="00252FA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6D4FC4" w:rsidRPr="006D4FC4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annual</w:t>
      </w:r>
      <w:r w:rsidR="006D4FC4" w:rsidRPr="006D4FC4">
        <w:rPr>
          <w:rFonts w:ascii="Arial" w:hAnsi="Arial" w:cs="Arial"/>
          <w:sz w:val="20"/>
          <w:szCs w:val="20"/>
        </w:rPr>
        <w:t xml:space="preserve"> General</w:t>
      </w:r>
      <w:r>
        <w:rPr>
          <w:rFonts w:ascii="Arial" w:hAnsi="Arial" w:cs="Arial"/>
          <w:sz w:val="20"/>
          <w:szCs w:val="20"/>
        </w:rPr>
        <w:t xml:space="preserve"> Meeting of Shareholders assigned</w:t>
      </w:r>
      <w:r w:rsidR="006D4FC4" w:rsidRPr="006D4FC4">
        <w:rPr>
          <w:rFonts w:ascii="Arial" w:hAnsi="Arial" w:cs="Arial"/>
          <w:sz w:val="20"/>
          <w:szCs w:val="20"/>
        </w:rPr>
        <w:t xml:space="preserve"> the Board of Directors and the Supervisory Board to monitor, supervise and direct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="006D4FC4" w:rsidRPr="006D4FC4">
        <w:rPr>
          <w:rFonts w:ascii="Arial" w:hAnsi="Arial" w:cs="Arial"/>
          <w:sz w:val="20"/>
          <w:szCs w:val="20"/>
        </w:rPr>
        <w:t xml:space="preserve">of the Company to strictly comply with </w:t>
      </w:r>
      <w:r>
        <w:rPr>
          <w:rFonts w:ascii="Arial" w:hAnsi="Arial" w:cs="Arial"/>
          <w:sz w:val="20"/>
          <w:szCs w:val="20"/>
        </w:rPr>
        <w:t xml:space="preserve">the contents of the General Mandate </w:t>
      </w:r>
    </w:p>
    <w:p w:rsidR="00252FA4" w:rsidRDefault="00252FA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This General Mandate</w:t>
      </w:r>
      <w:r w:rsidR="006D4FC4" w:rsidRPr="006D4FC4">
        <w:rPr>
          <w:rFonts w:ascii="Arial" w:hAnsi="Arial" w:cs="Arial"/>
          <w:sz w:val="20"/>
          <w:szCs w:val="20"/>
        </w:rPr>
        <w:t xml:space="preserve"> ta</w:t>
      </w:r>
      <w:r>
        <w:rPr>
          <w:rFonts w:ascii="Arial" w:hAnsi="Arial" w:cs="Arial"/>
          <w:sz w:val="20"/>
          <w:szCs w:val="20"/>
        </w:rPr>
        <w:t>kes effect from April 20, 2020</w:t>
      </w:r>
    </w:p>
    <w:p w:rsidR="006D4FC4" w:rsidRPr="006D4FC4" w:rsidRDefault="006D4FC4" w:rsidP="006D4F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FC4">
        <w:rPr>
          <w:rFonts w:ascii="Arial" w:hAnsi="Arial" w:cs="Arial"/>
          <w:sz w:val="20"/>
          <w:szCs w:val="20"/>
        </w:rPr>
        <w:t xml:space="preserve">Board of Directors, Board of Supervisors, </w:t>
      </w:r>
      <w:r w:rsidR="00252FA4">
        <w:rPr>
          <w:rFonts w:ascii="Arial" w:hAnsi="Arial" w:cs="Arial"/>
          <w:sz w:val="20"/>
          <w:szCs w:val="20"/>
        </w:rPr>
        <w:t xml:space="preserve">Management Board </w:t>
      </w:r>
      <w:r w:rsidRPr="006D4FC4">
        <w:rPr>
          <w:rFonts w:ascii="Arial" w:hAnsi="Arial" w:cs="Arial"/>
          <w:sz w:val="20"/>
          <w:szCs w:val="20"/>
        </w:rPr>
        <w:t>of the Company and related units and individuals are responsible f</w:t>
      </w:r>
      <w:r w:rsidR="00252FA4">
        <w:rPr>
          <w:rFonts w:ascii="Arial" w:hAnsi="Arial" w:cs="Arial"/>
          <w:sz w:val="20"/>
          <w:szCs w:val="20"/>
        </w:rPr>
        <w:t xml:space="preserve">or implementing this General Mandate </w:t>
      </w:r>
    </w:p>
    <w:p w:rsidR="00FE1AEA" w:rsidRPr="008D2798" w:rsidRDefault="00FE1AEA" w:rsidP="00B57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E1AEA" w:rsidRPr="008D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CE6"/>
    <w:multiLevelType w:val="hybridMultilevel"/>
    <w:tmpl w:val="CB089D38"/>
    <w:lvl w:ilvl="0" w:tplc="A49A2F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4C71"/>
    <w:multiLevelType w:val="multilevel"/>
    <w:tmpl w:val="BC64C7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9292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00A78"/>
    <w:rsid w:val="00132EC5"/>
    <w:rsid w:val="00146DCF"/>
    <w:rsid w:val="0016411D"/>
    <w:rsid w:val="00167E2F"/>
    <w:rsid w:val="001F34A1"/>
    <w:rsid w:val="001F6744"/>
    <w:rsid w:val="00252FA4"/>
    <w:rsid w:val="00273101"/>
    <w:rsid w:val="002B42CC"/>
    <w:rsid w:val="002D481A"/>
    <w:rsid w:val="002D4939"/>
    <w:rsid w:val="002D53EE"/>
    <w:rsid w:val="002E19C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41B46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4FC4"/>
    <w:rsid w:val="006E15A6"/>
    <w:rsid w:val="006E5E99"/>
    <w:rsid w:val="00732DC3"/>
    <w:rsid w:val="007336C9"/>
    <w:rsid w:val="00744587"/>
    <w:rsid w:val="00745D9A"/>
    <w:rsid w:val="00750F3E"/>
    <w:rsid w:val="0077456B"/>
    <w:rsid w:val="007919A3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8D2798"/>
    <w:rsid w:val="0090053B"/>
    <w:rsid w:val="00937D79"/>
    <w:rsid w:val="00971BC9"/>
    <w:rsid w:val="00975A27"/>
    <w:rsid w:val="00981275"/>
    <w:rsid w:val="009A0CE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57B54"/>
    <w:rsid w:val="00B70D7E"/>
    <w:rsid w:val="00B7158A"/>
    <w:rsid w:val="00BA1F12"/>
    <w:rsid w:val="00BA3FB7"/>
    <w:rsid w:val="00BB149F"/>
    <w:rsid w:val="00BB2980"/>
    <w:rsid w:val="00BD3CCA"/>
    <w:rsid w:val="00BE02D6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12FC4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2371"/>
    <w:rsid w:val="00F86F7A"/>
    <w:rsid w:val="00F903A5"/>
    <w:rsid w:val="00FC153A"/>
    <w:rsid w:val="00FD3EED"/>
    <w:rsid w:val="00FD4001"/>
    <w:rsid w:val="00FE1AEA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9E7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172</cp:revision>
  <dcterms:created xsi:type="dcterms:W3CDTF">2019-10-16T10:03:00Z</dcterms:created>
  <dcterms:modified xsi:type="dcterms:W3CDTF">2020-04-23T15:04:00Z</dcterms:modified>
</cp:coreProperties>
</file>